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7" w:rsidRDefault="00D126F4" w:rsidP="005864F7">
      <w:pPr>
        <w:rPr>
          <w:i/>
          <w:iCs/>
          <w:color w:val="000000"/>
          <w:szCs w:val="24"/>
          <w:lang w:eastAsia="en-GB"/>
        </w:rPr>
      </w:pPr>
      <w:r>
        <w:rPr>
          <w:i/>
          <w:iCs/>
          <w:noProof/>
          <w:color w:val="000000"/>
          <w:szCs w:val="24"/>
          <w:lang w:eastAsia="en-GB"/>
        </w:rPr>
        <w:drawing>
          <wp:anchor distT="0" distB="0" distL="114300" distR="114300" simplePos="0" relativeHeight="251657728" behindDoc="0" locked="0" layoutInCell="1" allowOverlap="0">
            <wp:simplePos x="0" y="0"/>
            <wp:positionH relativeFrom="column">
              <wp:posOffset>5007610</wp:posOffset>
            </wp:positionH>
            <wp:positionV relativeFrom="paragraph">
              <wp:posOffset>-546735</wp:posOffset>
            </wp:positionV>
            <wp:extent cx="1450975" cy="701040"/>
            <wp:effectExtent l="0" t="0" r="0" b="0"/>
            <wp:wrapSquare wrapText="bothSides"/>
            <wp:docPr id="4" name="Picture 4" descr="Office of Rail and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of Rail and Ro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14:sizeRelH relativeFrom="page">
              <wp14:pctWidth>0</wp14:pctWidth>
            </wp14:sizeRelH>
            <wp14:sizeRelV relativeFrom="page">
              <wp14:pctHeight>0</wp14:pctHeight>
            </wp14:sizeRelV>
          </wp:anchor>
        </w:drawing>
      </w:r>
    </w:p>
    <w:p w:rsidR="005864F7" w:rsidRPr="000B184E" w:rsidRDefault="00E85E80" w:rsidP="000B184E">
      <w:pPr>
        <w:pStyle w:val="Heading1"/>
        <w:rPr>
          <w:rFonts w:ascii="Arial" w:hAnsi="Arial" w:cs="Arial"/>
          <w:sz w:val="24"/>
          <w:szCs w:val="24"/>
        </w:rPr>
      </w:pPr>
      <w:bookmarkStart w:id="0" w:name="_GoBack"/>
      <w:r>
        <w:rPr>
          <w:rFonts w:ascii="Arial" w:hAnsi="Arial" w:cs="Arial"/>
          <w:sz w:val="24"/>
          <w:szCs w:val="24"/>
        </w:rPr>
        <w:t>PR18 consultation on charges recovering fixed network costs</w:t>
      </w:r>
      <w:r w:rsidR="00B559C6">
        <w:rPr>
          <w:rFonts w:ascii="Arial" w:hAnsi="Arial" w:cs="Arial"/>
          <w:sz w:val="24"/>
          <w:szCs w:val="24"/>
        </w:rPr>
        <w:t>: Pro-forma for responses</w:t>
      </w:r>
    </w:p>
    <w:bookmarkEnd w:id="0"/>
    <w:p w:rsidR="004C58B7" w:rsidRPr="004C58B7" w:rsidRDefault="004C58B7" w:rsidP="004C58B7">
      <w:r>
        <w:t xml:space="preserve">This pro-forma is available to those that wish to use it to respond to our consultation. </w:t>
      </w:r>
      <w:r w:rsidR="00820A2C">
        <w:t xml:space="preserve">Other forms of response (e.g. letter format) are equally welcome. </w:t>
      </w:r>
    </w:p>
    <w:p w:rsidR="00195B85" w:rsidRPr="00BC24A0" w:rsidRDefault="00195B85" w:rsidP="00195B85">
      <w:r>
        <w:t xml:space="preserve">Please send your response to </w:t>
      </w:r>
      <w:hyperlink r:id="rId9" w:history="1">
        <w:r w:rsidR="00820A2C">
          <w:rPr>
            <w:rStyle w:val="Hyperlink"/>
          </w:rPr>
          <w:t>pr18@orr.gsi.gov.uk</w:t>
        </w:r>
      </w:hyperlink>
      <w:r>
        <w:t xml:space="preserve"> by </w:t>
      </w:r>
      <w:r w:rsidR="00E85E80" w:rsidRPr="00E85E80">
        <w:rPr>
          <w:b/>
        </w:rPr>
        <w:t>30 Nove</w:t>
      </w:r>
      <w:r w:rsidR="0064385C" w:rsidRPr="00E85E80">
        <w:rPr>
          <w:b/>
        </w:rPr>
        <w:t>mber</w:t>
      </w:r>
      <w:r w:rsidRPr="00195B85">
        <w:rPr>
          <w:b/>
        </w:rPr>
        <w:t xml:space="preserve"> 201</w:t>
      </w:r>
      <w:r w:rsidR="0064385C">
        <w:rPr>
          <w:b/>
        </w:rPr>
        <w:t>7</w:t>
      </w:r>
      <w:r>
        <w:t xml:space="preserve">. </w:t>
      </w:r>
    </w:p>
    <w:p w:rsidR="003F40AC" w:rsidRPr="00E67EF9" w:rsidRDefault="003F40AC" w:rsidP="005864F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7269"/>
      </w:tblGrid>
      <w:tr w:rsidR="00234100" w:rsidRPr="00F40E42" w:rsidTr="00F40E42">
        <w:tc>
          <w:tcPr>
            <w:tcW w:w="2943" w:type="dxa"/>
            <w:shd w:val="clear" w:color="auto" w:fill="auto"/>
          </w:tcPr>
          <w:p w:rsidR="00234100" w:rsidRPr="00F40E42" w:rsidRDefault="00234100" w:rsidP="00F40E42">
            <w:pPr>
              <w:pStyle w:val="CommentText"/>
              <w:spacing w:before="40" w:after="40"/>
              <w:rPr>
                <w:b/>
                <w:szCs w:val="24"/>
              </w:rPr>
            </w:pPr>
            <w:r w:rsidRPr="00F40E42">
              <w:rPr>
                <w:b/>
                <w:szCs w:val="24"/>
              </w:rPr>
              <w:t>Full name</w:t>
            </w:r>
          </w:p>
        </w:tc>
        <w:tc>
          <w:tcPr>
            <w:tcW w:w="7371" w:type="dxa"/>
            <w:shd w:val="clear" w:color="auto" w:fill="auto"/>
          </w:tcPr>
          <w:p w:rsidR="00234100" w:rsidRPr="00F40E42" w:rsidRDefault="00234100" w:rsidP="00F40E42">
            <w:pPr>
              <w:pStyle w:val="CommentText"/>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Job title</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Organisation</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Email</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Telephone number</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bl>
    <w:p w:rsidR="005864F7" w:rsidRDefault="00820A2C" w:rsidP="00820A2C">
      <w:pPr>
        <w:spacing w:before="0"/>
        <w:rPr>
          <w:szCs w:val="24"/>
        </w:rPr>
      </w:pPr>
      <w:r w:rsidRPr="00820A2C">
        <w:rPr>
          <w:sz w:val="20"/>
          <w:szCs w:val="24"/>
        </w:rPr>
        <w:t>*This information will not be published</w:t>
      </w:r>
      <w:r>
        <w:rPr>
          <w:sz w:val="20"/>
          <w:szCs w:val="24"/>
        </w:rPr>
        <w:t xml:space="preserve"> on our website.</w:t>
      </w:r>
      <w:r w:rsidR="005864F7" w:rsidRPr="00820A2C">
        <w:rPr>
          <w:sz w:val="20"/>
          <w:szCs w:val="24"/>
        </w:rPr>
        <w:tab/>
      </w:r>
    </w:p>
    <w:p w:rsidR="00820A2C" w:rsidRPr="00820A2C" w:rsidRDefault="00820A2C" w:rsidP="00820A2C">
      <w:pPr>
        <w:spacing w:before="0"/>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C58B7" w:rsidRPr="00E67EF9" w:rsidTr="004C58B7">
        <w:tc>
          <w:tcPr>
            <w:tcW w:w="10314" w:type="dxa"/>
            <w:shd w:val="clear" w:color="auto" w:fill="FFFFFF"/>
          </w:tcPr>
          <w:p w:rsidR="004C58B7" w:rsidRPr="00E67EF9" w:rsidRDefault="00442362" w:rsidP="00E85E80">
            <w:pPr>
              <w:rPr>
                <w:b/>
                <w:szCs w:val="24"/>
              </w:rPr>
            </w:pPr>
            <w:r>
              <w:rPr>
                <w:b/>
                <w:szCs w:val="24"/>
              </w:rPr>
              <w:t>Question</w:t>
            </w:r>
            <w:r w:rsidR="004C58B7">
              <w:rPr>
                <w:b/>
                <w:szCs w:val="24"/>
              </w:rPr>
              <w:t xml:space="preserve"> </w:t>
            </w:r>
            <w:r w:rsidR="00E85E80">
              <w:rPr>
                <w:b/>
                <w:szCs w:val="24"/>
              </w:rPr>
              <w:t>2.</w:t>
            </w:r>
            <w:r>
              <w:rPr>
                <w:b/>
                <w:szCs w:val="24"/>
              </w:rPr>
              <w:t>1</w:t>
            </w:r>
            <w:r w:rsidR="004C58B7">
              <w:rPr>
                <w:b/>
                <w:szCs w:val="24"/>
              </w:rPr>
              <w:t xml:space="preserve">: </w:t>
            </w:r>
            <w:r w:rsidR="00E85E80" w:rsidRPr="00E85E80">
              <w:rPr>
                <w:szCs w:val="24"/>
              </w:rPr>
              <w:t>Do you have any views on our proposal to retain the existing freight market segmentation by commodity, and not introduce further market segments for any of the existing commodities?</w:t>
            </w:r>
          </w:p>
        </w:tc>
      </w:tr>
      <w:tr w:rsidR="004C58B7" w:rsidRPr="00E67EF9" w:rsidTr="00195B85">
        <w:trPr>
          <w:trHeight w:val="1683"/>
        </w:trPr>
        <w:tc>
          <w:tcPr>
            <w:tcW w:w="10314" w:type="dxa"/>
            <w:shd w:val="clear" w:color="auto" w:fill="FFFFFF"/>
          </w:tcPr>
          <w:p w:rsidR="004C58B7" w:rsidRPr="00E67EF9" w:rsidRDefault="004C58B7" w:rsidP="004C58B7"/>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AF1FED" w:rsidRDefault="00442362" w:rsidP="00E85E80">
            <w:pPr>
              <w:rPr>
                <w:szCs w:val="24"/>
              </w:rPr>
            </w:pPr>
            <w:r>
              <w:rPr>
                <w:b/>
                <w:szCs w:val="24"/>
              </w:rPr>
              <w:t>Question 2</w:t>
            </w:r>
            <w:r w:rsidR="00E85E80">
              <w:rPr>
                <w:b/>
                <w:szCs w:val="24"/>
              </w:rPr>
              <w:t>.2</w:t>
            </w:r>
            <w:r w:rsidR="00AF1FED">
              <w:rPr>
                <w:b/>
                <w:szCs w:val="24"/>
              </w:rPr>
              <w:t xml:space="preserve">: </w:t>
            </w:r>
            <w:r w:rsidR="00E85E80" w:rsidRPr="00E85E80">
              <w:rPr>
                <w:szCs w:val="24"/>
              </w:rPr>
              <w:t>Do you have any views on our proposal to continue allowing Network Rail to levy infrastructure cost charges on freight trains carrying ESI coal, iron ore and spent nuclear fuel? Do you have any views on our proposal to allow Network Rail to levy infrastructure cost charges on trains carrying ESI biomass in CP6?</w:t>
            </w:r>
          </w:p>
        </w:tc>
      </w:tr>
      <w:tr w:rsidR="00AF1FED" w:rsidRPr="00E67EF9" w:rsidTr="00195B85">
        <w:trPr>
          <w:trHeight w:val="1995"/>
        </w:trPr>
        <w:tc>
          <w:tcPr>
            <w:tcW w:w="10314" w:type="dxa"/>
            <w:shd w:val="clear" w:color="auto" w:fill="FFFFFF"/>
          </w:tcPr>
          <w:p w:rsidR="00AF1FED" w:rsidRPr="00E67EF9" w:rsidRDefault="00AF1FED" w:rsidP="00AF1FED"/>
        </w:tc>
      </w:tr>
    </w:tbl>
    <w:p w:rsidR="0064385C" w:rsidRDefault="0064385C" w:rsidP="005864F7">
      <w:pPr>
        <w:rPr>
          <w:szCs w:val="24"/>
        </w:rPr>
      </w:pPr>
    </w:p>
    <w:p w:rsidR="0064385C" w:rsidRDefault="0064385C" w:rsidP="005864F7">
      <w:pPr>
        <w:rPr>
          <w:szCs w:val="24"/>
        </w:rPr>
      </w:pPr>
    </w:p>
    <w:p w:rsidR="0064385C" w:rsidRDefault="0064385C" w:rsidP="005864F7">
      <w:pPr>
        <w:rPr>
          <w:szCs w:val="24"/>
        </w:rPr>
      </w:pPr>
    </w:p>
    <w:p w:rsidR="0064385C" w:rsidRDefault="0064385C" w:rsidP="005864F7">
      <w:pPr>
        <w:rPr>
          <w:szCs w:val="24"/>
        </w:rPr>
      </w:pPr>
    </w:p>
    <w:p w:rsidR="0064385C" w:rsidRDefault="0064385C" w:rsidP="005864F7">
      <w:pPr>
        <w:rPr>
          <w:szCs w:val="24"/>
        </w:rPr>
      </w:pPr>
    </w:p>
    <w:p w:rsidR="0064385C" w:rsidRDefault="0064385C"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64385C" w:rsidRDefault="0064385C" w:rsidP="00E85E80">
            <w:pPr>
              <w:rPr>
                <w:b/>
                <w:szCs w:val="24"/>
              </w:rPr>
            </w:pPr>
            <w:r>
              <w:rPr>
                <w:b/>
                <w:szCs w:val="24"/>
              </w:rPr>
              <w:t xml:space="preserve">Question </w:t>
            </w:r>
            <w:r w:rsidR="00E85E80">
              <w:rPr>
                <w:b/>
                <w:szCs w:val="24"/>
              </w:rPr>
              <w:t>2.</w:t>
            </w:r>
            <w:r>
              <w:rPr>
                <w:b/>
                <w:szCs w:val="24"/>
              </w:rPr>
              <w:t xml:space="preserve">3: </w:t>
            </w:r>
            <w:r w:rsidRPr="00E85E80">
              <w:rPr>
                <w:szCs w:val="24"/>
              </w:rPr>
              <w:t xml:space="preserve">Do you </w:t>
            </w:r>
            <w:r w:rsidR="007A0455" w:rsidRPr="00E85E80">
              <w:rPr>
                <w:szCs w:val="24"/>
              </w:rPr>
              <w:t xml:space="preserve">have any </w:t>
            </w:r>
            <w:r w:rsidR="00E85E80" w:rsidRPr="00E85E80">
              <w:rPr>
                <w:szCs w:val="24"/>
              </w:rPr>
              <w:t>additional evidence around the ability to bear of any of the freight market segments reviewed by our consultants, which you would like to provide us to inform our final decision around which freight market segments are able to bear infrastructure cost charges in CP6</w:t>
            </w:r>
            <w:r w:rsidR="007A0455" w:rsidRPr="00E85E80">
              <w:rPr>
                <w:szCs w:val="24"/>
              </w:rPr>
              <w:t>?</w:t>
            </w:r>
          </w:p>
        </w:tc>
      </w:tr>
      <w:tr w:rsidR="00AF1FED" w:rsidRPr="00E67EF9" w:rsidTr="00AF1FED">
        <w:trPr>
          <w:trHeight w:val="1320"/>
        </w:trPr>
        <w:tc>
          <w:tcPr>
            <w:tcW w:w="10314" w:type="dxa"/>
            <w:shd w:val="clear" w:color="auto" w:fill="FFFFFF"/>
          </w:tcPr>
          <w:p w:rsidR="00AF1FED" w:rsidRPr="00AF1FED" w:rsidRDefault="00AF1FED" w:rsidP="0064385C"/>
        </w:tc>
      </w:tr>
    </w:tbl>
    <w:p w:rsidR="00AF1FED" w:rsidRDefault="00AF1FED" w:rsidP="005864F7">
      <w:pPr>
        <w:rPr>
          <w:szCs w:val="24"/>
        </w:rPr>
      </w:pPr>
    </w:p>
    <w:p w:rsidR="007A0455" w:rsidRDefault="007A0455"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7A0455" w:rsidRPr="00E67EF9" w:rsidTr="006449F5">
        <w:tc>
          <w:tcPr>
            <w:tcW w:w="10314" w:type="dxa"/>
            <w:shd w:val="clear" w:color="auto" w:fill="FFFFFF"/>
          </w:tcPr>
          <w:p w:rsidR="007A0455" w:rsidRPr="0064385C" w:rsidRDefault="007A0455" w:rsidP="00E85E80">
            <w:pPr>
              <w:rPr>
                <w:b/>
                <w:szCs w:val="24"/>
              </w:rPr>
            </w:pPr>
            <w:r>
              <w:rPr>
                <w:b/>
                <w:szCs w:val="24"/>
              </w:rPr>
              <w:t xml:space="preserve">Question </w:t>
            </w:r>
            <w:r w:rsidR="00E85E80">
              <w:rPr>
                <w:b/>
                <w:szCs w:val="24"/>
              </w:rPr>
              <w:t>3.1</w:t>
            </w:r>
            <w:r>
              <w:rPr>
                <w:b/>
                <w:szCs w:val="24"/>
              </w:rPr>
              <w:t xml:space="preserve">: </w:t>
            </w:r>
            <w:r w:rsidRPr="00E85E80">
              <w:rPr>
                <w:szCs w:val="24"/>
              </w:rPr>
              <w:t xml:space="preserve">Do you </w:t>
            </w:r>
            <w:r w:rsidR="00E85E80" w:rsidRPr="00E85E80">
              <w:rPr>
                <w:szCs w:val="24"/>
              </w:rPr>
              <w:t>have any views on the results of the technical analysis undertaken to date on passenger market segmentation (and ability to bear?) Do you have any views around how these emerging findings could inform a passenger market segmentation?</w:t>
            </w:r>
          </w:p>
        </w:tc>
      </w:tr>
      <w:tr w:rsidR="007A0455" w:rsidRPr="00E67EF9" w:rsidTr="006449F5">
        <w:trPr>
          <w:trHeight w:val="1320"/>
        </w:trPr>
        <w:tc>
          <w:tcPr>
            <w:tcW w:w="10314" w:type="dxa"/>
            <w:shd w:val="clear" w:color="auto" w:fill="FFFFFF"/>
          </w:tcPr>
          <w:p w:rsidR="007A0455" w:rsidRPr="00AF1FED" w:rsidRDefault="007A0455" w:rsidP="006449F5"/>
        </w:tc>
      </w:tr>
    </w:tbl>
    <w:p w:rsidR="007A0455" w:rsidRDefault="007A0455"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E85E80" w:rsidRPr="00E67EF9" w:rsidTr="00057732">
        <w:tc>
          <w:tcPr>
            <w:tcW w:w="10314" w:type="dxa"/>
            <w:shd w:val="clear" w:color="auto" w:fill="FFFFFF"/>
          </w:tcPr>
          <w:p w:rsidR="00E85E80" w:rsidRPr="0064385C" w:rsidRDefault="00E85E80" w:rsidP="00E85E80">
            <w:pPr>
              <w:rPr>
                <w:b/>
                <w:szCs w:val="24"/>
              </w:rPr>
            </w:pPr>
            <w:r>
              <w:rPr>
                <w:b/>
                <w:szCs w:val="24"/>
              </w:rPr>
              <w:t xml:space="preserve">Question 4.1: </w:t>
            </w:r>
            <w:r w:rsidRPr="00E85E80">
              <w:rPr>
                <w:szCs w:val="24"/>
              </w:rPr>
              <w:t xml:space="preserve">Do you have any </w:t>
            </w:r>
            <w:r>
              <w:rPr>
                <w:szCs w:val="24"/>
              </w:rPr>
              <w:t xml:space="preserve">comments on our proposal to levy any infrastructure </w:t>
            </w:r>
            <w:r w:rsidR="00135B5C">
              <w:rPr>
                <w:szCs w:val="24"/>
              </w:rPr>
              <w:t>cost charges on open access operators as a rate per train mile? Do you think there are any additional considerations we should include in our assessment of the different metric options?</w:t>
            </w:r>
          </w:p>
        </w:tc>
      </w:tr>
      <w:tr w:rsidR="00E85E80" w:rsidRPr="00E67EF9" w:rsidTr="00057732">
        <w:trPr>
          <w:trHeight w:val="1320"/>
        </w:trPr>
        <w:tc>
          <w:tcPr>
            <w:tcW w:w="10314" w:type="dxa"/>
            <w:shd w:val="clear" w:color="auto" w:fill="FFFFFF"/>
          </w:tcPr>
          <w:p w:rsidR="00E85E80" w:rsidRPr="00AF1FED" w:rsidRDefault="00E85E80" w:rsidP="00057732"/>
        </w:tc>
      </w:tr>
    </w:tbl>
    <w:p w:rsidR="00E85E80" w:rsidRDefault="00E85E80"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35B5C" w:rsidRPr="00E67EF9" w:rsidTr="00057732">
        <w:tc>
          <w:tcPr>
            <w:tcW w:w="10314" w:type="dxa"/>
            <w:shd w:val="clear" w:color="auto" w:fill="FFFFFF"/>
          </w:tcPr>
          <w:p w:rsidR="00135B5C" w:rsidRPr="0064385C" w:rsidRDefault="00135B5C" w:rsidP="00135B5C">
            <w:pPr>
              <w:rPr>
                <w:b/>
                <w:szCs w:val="24"/>
              </w:rPr>
            </w:pPr>
            <w:r>
              <w:rPr>
                <w:b/>
                <w:szCs w:val="24"/>
              </w:rPr>
              <w:t xml:space="preserve">Question 4.2: </w:t>
            </w:r>
            <w:r w:rsidRPr="00E85E80">
              <w:rPr>
                <w:szCs w:val="24"/>
              </w:rPr>
              <w:t xml:space="preserve">Do you have any </w:t>
            </w:r>
            <w:r>
              <w:rPr>
                <w:szCs w:val="24"/>
              </w:rPr>
              <w:t>comments on our proposed approach to varying franchised passenger operators’ infrastructure cost charges in response to changes in traffic, on an annual basis. Do you have any comments on the particular approach we have proposed which is based on changes in timetabled traffic, or any of the other options we have considered in our assessment?</w:t>
            </w:r>
          </w:p>
        </w:tc>
      </w:tr>
      <w:tr w:rsidR="00135B5C" w:rsidRPr="00E67EF9" w:rsidTr="00057732">
        <w:trPr>
          <w:trHeight w:val="1320"/>
        </w:trPr>
        <w:tc>
          <w:tcPr>
            <w:tcW w:w="10314" w:type="dxa"/>
            <w:shd w:val="clear" w:color="auto" w:fill="FFFFFF"/>
          </w:tcPr>
          <w:p w:rsidR="00135B5C" w:rsidRPr="00AF1FED" w:rsidRDefault="00135B5C" w:rsidP="00057732"/>
        </w:tc>
      </w:tr>
    </w:tbl>
    <w:p w:rsidR="00AF1FED" w:rsidRDefault="00AF1FED" w:rsidP="005864F7">
      <w:pPr>
        <w:rPr>
          <w:szCs w:val="24"/>
        </w:rPr>
      </w:pPr>
    </w:p>
    <w:p w:rsidR="00135B5C" w:rsidRDefault="00135B5C"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95B85" w:rsidRPr="00E67EF9" w:rsidTr="00195B85">
        <w:trPr>
          <w:cantSplit/>
        </w:trPr>
        <w:tc>
          <w:tcPr>
            <w:tcW w:w="10314" w:type="dxa"/>
            <w:shd w:val="clear" w:color="auto" w:fill="FFFFFF"/>
          </w:tcPr>
          <w:p w:rsidR="00195B85" w:rsidRPr="00195B85" w:rsidRDefault="00195B85" w:rsidP="00195B85">
            <w:pPr>
              <w:rPr>
                <w:b/>
                <w:szCs w:val="24"/>
              </w:rPr>
            </w:pPr>
            <w:r>
              <w:rPr>
                <w:b/>
                <w:szCs w:val="24"/>
              </w:rPr>
              <w:t>Any other points that you would like to make</w:t>
            </w:r>
          </w:p>
        </w:tc>
      </w:tr>
      <w:tr w:rsidR="00195B85" w:rsidRPr="00E67EF9" w:rsidTr="00195B85">
        <w:trPr>
          <w:trHeight w:val="1320"/>
        </w:trPr>
        <w:tc>
          <w:tcPr>
            <w:tcW w:w="10314" w:type="dxa"/>
            <w:shd w:val="clear" w:color="auto" w:fill="FFFFFF"/>
          </w:tcPr>
          <w:p w:rsidR="00820A2C" w:rsidRPr="00E67EF9" w:rsidRDefault="00820A2C" w:rsidP="00195B85"/>
        </w:tc>
      </w:tr>
    </w:tbl>
    <w:p w:rsidR="00195B85" w:rsidRDefault="00195B85" w:rsidP="005864F7">
      <w:pPr>
        <w:rPr>
          <w:szCs w:val="24"/>
        </w:rPr>
      </w:pPr>
    </w:p>
    <w:p w:rsidR="00434419" w:rsidRDefault="00195B85" w:rsidP="005864F7">
      <w:pPr>
        <w:rPr>
          <w:szCs w:val="24"/>
        </w:rPr>
      </w:pPr>
      <w:r>
        <w:rPr>
          <w:szCs w:val="24"/>
        </w:rPr>
        <w:t>Thank you for taking the time to respond.</w:t>
      </w:r>
    </w:p>
    <w:p w:rsidR="00434419" w:rsidRPr="00E67EF9" w:rsidRDefault="00434419" w:rsidP="005864F7">
      <w:pPr>
        <w:rPr>
          <w:szCs w:val="24"/>
        </w:rPr>
      </w:pPr>
    </w:p>
    <w:p w:rsidR="00FB627D" w:rsidRPr="00E67EF9" w:rsidRDefault="00FB627D" w:rsidP="005864F7">
      <w:pPr>
        <w:rPr>
          <w:szCs w:val="24"/>
        </w:rPr>
      </w:pPr>
    </w:p>
    <w:p w:rsidR="005864F7" w:rsidRDefault="005864F7" w:rsidP="005864F7">
      <w:pPr>
        <w:rPr>
          <w:b/>
          <w:szCs w:val="24"/>
        </w:rPr>
      </w:pPr>
    </w:p>
    <w:sectPr w:rsidR="005864F7" w:rsidSect="00195B85">
      <w:pgSz w:w="11906" w:h="16838"/>
      <w:pgMar w:top="1440"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69" w:rsidRDefault="00FC2B69">
      <w:r>
        <w:separator/>
      </w:r>
    </w:p>
  </w:endnote>
  <w:endnote w:type="continuationSeparator" w:id="0">
    <w:p w:rsidR="00FC2B69" w:rsidRDefault="00F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69" w:rsidRDefault="00FC2B69">
      <w:r>
        <w:separator/>
      </w:r>
    </w:p>
  </w:footnote>
  <w:footnote w:type="continuationSeparator" w:id="0">
    <w:p w:rsidR="00FC2B69" w:rsidRDefault="00FC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589D"/>
    <w:multiLevelType w:val="hybridMultilevel"/>
    <w:tmpl w:val="0358B4FA"/>
    <w:lvl w:ilvl="0" w:tplc="B5D8CC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25F73"/>
    <w:rsid w:val="00032F00"/>
    <w:rsid w:val="00057732"/>
    <w:rsid w:val="0005794F"/>
    <w:rsid w:val="000831BC"/>
    <w:rsid w:val="000A0DC5"/>
    <w:rsid w:val="000B184E"/>
    <w:rsid w:val="000B1C9D"/>
    <w:rsid w:val="000B2A68"/>
    <w:rsid w:val="00135B5C"/>
    <w:rsid w:val="00152115"/>
    <w:rsid w:val="00195B85"/>
    <w:rsid w:val="001A5624"/>
    <w:rsid w:val="001B6E4F"/>
    <w:rsid w:val="00221F2D"/>
    <w:rsid w:val="00234100"/>
    <w:rsid w:val="0027765B"/>
    <w:rsid w:val="002B63B8"/>
    <w:rsid w:val="002F5600"/>
    <w:rsid w:val="00336B0C"/>
    <w:rsid w:val="00353EED"/>
    <w:rsid w:val="003905D7"/>
    <w:rsid w:val="00391F23"/>
    <w:rsid w:val="003A5DD1"/>
    <w:rsid w:val="003F40AC"/>
    <w:rsid w:val="00414A3C"/>
    <w:rsid w:val="00434419"/>
    <w:rsid w:val="00434772"/>
    <w:rsid w:val="00441B9D"/>
    <w:rsid w:val="00442362"/>
    <w:rsid w:val="004500A1"/>
    <w:rsid w:val="00475736"/>
    <w:rsid w:val="00491B06"/>
    <w:rsid w:val="004A6289"/>
    <w:rsid w:val="004C58B7"/>
    <w:rsid w:val="004F7C9A"/>
    <w:rsid w:val="00503F7B"/>
    <w:rsid w:val="005864F7"/>
    <w:rsid w:val="005A3353"/>
    <w:rsid w:val="005C25D6"/>
    <w:rsid w:val="00627E72"/>
    <w:rsid w:val="00642E76"/>
    <w:rsid w:val="0064385C"/>
    <w:rsid w:val="006449F5"/>
    <w:rsid w:val="00661378"/>
    <w:rsid w:val="00730481"/>
    <w:rsid w:val="00733866"/>
    <w:rsid w:val="00744820"/>
    <w:rsid w:val="00773A23"/>
    <w:rsid w:val="007A0455"/>
    <w:rsid w:val="007B5C09"/>
    <w:rsid w:val="007F02F1"/>
    <w:rsid w:val="007F61E7"/>
    <w:rsid w:val="00820A2C"/>
    <w:rsid w:val="00860B95"/>
    <w:rsid w:val="00896292"/>
    <w:rsid w:val="008A1B86"/>
    <w:rsid w:val="008A34EA"/>
    <w:rsid w:val="008E5F9C"/>
    <w:rsid w:val="0090742C"/>
    <w:rsid w:val="00935E78"/>
    <w:rsid w:val="00956E8C"/>
    <w:rsid w:val="009671F2"/>
    <w:rsid w:val="009D08EC"/>
    <w:rsid w:val="00A24DC8"/>
    <w:rsid w:val="00A703C2"/>
    <w:rsid w:val="00A775FB"/>
    <w:rsid w:val="00A874E0"/>
    <w:rsid w:val="00AA2A27"/>
    <w:rsid w:val="00AB7AC1"/>
    <w:rsid w:val="00AF1FED"/>
    <w:rsid w:val="00B23A0F"/>
    <w:rsid w:val="00B559C6"/>
    <w:rsid w:val="00B60988"/>
    <w:rsid w:val="00BA6729"/>
    <w:rsid w:val="00BB3040"/>
    <w:rsid w:val="00BC24A0"/>
    <w:rsid w:val="00C22BD3"/>
    <w:rsid w:val="00C90609"/>
    <w:rsid w:val="00D04C68"/>
    <w:rsid w:val="00D126F4"/>
    <w:rsid w:val="00DA1A4E"/>
    <w:rsid w:val="00DC42EA"/>
    <w:rsid w:val="00DD1D57"/>
    <w:rsid w:val="00DD53EF"/>
    <w:rsid w:val="00E07970"/>
    <w:rsid w:val="00E7741C"/>
    <w:rsid w:val="00E833D5"/>
    <w:rsid w:val="00E842B7"/>
    <w:rsid w:val="00E85E80"/>
    <w:rsid w:val="00F40E42"/>
    <w:rsid w:val="00F76774"/>
    <w:rsid w:val="00F77656"/>
    <w:rsid w:val="00FA29BC"/>
    <w:rsid w:val="00FB627D"/>
    <w:rsid w:val="00FC2B69"/>
    <w:rsid w:val="00FE2C47"/>
    <w:rsid w:val="00FF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A25221-B6B5-46CC-9C06-FC5B4286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B7"/>
    <w:pPr>
      <w:spacing w:before="120" w:after="120"/>
    </w:pPr>
    <w:rPr>
      <w:rFonts w:ascii="Arial" w:hAnsi="Arial" w:cs="Arial"/>
      <w:sz w:val="24"/>
      <w:lang w:eastAsia="en-US"/>
    </w:rPr>
  </w:style>
  <w:style w:type="paragraph" w:styleId="Heading1">
    <w:name w:val="heading 1"/>
    <w:basedOn w:val="Normal"/>
    <w:next w:val="Normal"/>
    <w:link w:val="Heading1Char"/>
    <w:uiPriority w:val="9"/>
    <w:qFormat/>
    <w:rsid w:val="003F40AC"/>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
    <w:semiHidden/>
    <w:unhideWhenUsed/>
    <w:qFormat/>
    <w:rsid w:val="00FB627D"/>
    <w:pPr>
      <w:keepNext/>
      <w:spacing w:before="240" w:after="60"/>
      <w:outlineLvl w:val="3"/>
    </w:pPr>
    <w:rPr>
      <w:rFonts w:ascii="Calibri" w:hAnsi="Calibri" w:cs="Times New Roman"/>
      <w:b/>
      <w:bCs/>
      <w:sz w:val="28"/>
      <w:szCs w:val="28"/>
    </w:rPr>
  </w:style>
  <w:style w:type="paragraph" w:styleId="Heading5">
    <w:name w:val="heading 5"/>
    <w:basedOn w:val="Heading4"/>
    <w:next w:val="Normal"/>
    <w:link w:val="Heading5Char"/>
    <w:uiPriority w:val="9"/>
    <w:unhideWhenUsed/>
    <w:qFormat/>
    <w:rsid w:val="00FB627D"/>
    <w:pPr>
      <w:keepLines/>
      <w:spacing w:before="200" w:after="0"/>
      <w:outlineLvl w:val="4"/>
    </w:pPr>
    <w:rPr>
      <w:rFonts w:ascii="Arial" w:hAnsi="Arial"/>
      <w:bCs w:val="0"/>
      <w:iCs/>
      <w:color w:val="00476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864F7"/>
    <w:rPr>
      <w:rFonts w:ascii="Arial" w:hAnsi="Arial"/>
      <w:color w:val="0000FF"/>
      <w:sz w:val="24"/>
      <w:u w:val="single"/>
    </w:rPr>
  </w:style>
  <w:style w:type="paragraph" w:styleId="FootnoteText">
    <w:name w:val="footnote text"/>
    <w:basedOn w:val="Normal"/>
    <w:link w:val="FootnoteTextChar"/>
    <w:semiHidden/>
    <w:rsid w:val="005864F7"/>
  </w:style>
  <w:style w:type="character" w:styleId="FootnoteReference">
    <w:name w:val="footnote reference"/>
    <w:semiHidden/>
    <w:rsid w:val="005864F7"/>
    <w:rPr>
      <w:vertAlign w:val="superscript"/>
    </w:rPr>
  </w:style>
  <w:style w:type="paragraph" w:styleId="CommentText">
    <w:name w:val="annotation text"/>
    <w:basedOn w:val="Normal"/>
    <w:link w:val="CommentTextChar"/>
    <w:semiHidden/>
    <w:rsid w:val="005864F7"/>
    <w:rPr>
      <w:lang w:eastAsia="en-GB"/>
    </w:rPr>
  </w:style>
  <w:style w:type="character" w:customStyle="1" w:styleId="CommentTextChar">
    <w:name w:val="Comment Text Char"/>
    <w:link w:val="CommentText"/>
    <w:semiHidden/>
    <w:rsid w:val="005864F7"/>
    <w:rPr>
      <w:rFonts w:ascii="Arial" w:hAnsi="Arial" w:cs="Arial"/>
      <w:sz w:val="24"/>
      <w:lang w:val="en-GB" w:eastAsia="en-GB" w:bidi="ar-SA"/>
    </w:rPr>
  </w:style>
  <w:style w:type="character" w:customStyle="1" w:styleId="FootnoteTextChar">
    <w:name w:val="Footnote Text Char"/>
    <w:link w:val="FootnoteText"/>
    <w:semiHidden/>
    <w:rsid w:val="005864F7"/>
    <w:rPr>
      <w:rFonts w:ascii="Arial" w:hAnsi="Arial" w:cs="Arial"/>
      <w:sz w:val="24"/>
      <w:lang w:val="en-GB" w:eastAsia="en-US" w:bidi="ar-SA"/>
    </w:rPr>
  </w:style>
  <w:style w:type="paragraph" w:styleId="ListParagraph">
    <w:name w:val="List Paragraph"/>
    <w:basedOn w:val="Normal"/>
    <w:qFormat/>
    <w:rsid w:val="005864F7"/>
    <w:pPr>
      <w:ind w:left="720"/>
    </w:pPr>
    <w:rPr>
      <w:rFonts w:ascii="Times New Roman" w:hAnsi="Times New Roman" w:cs="Times New Roman"/>
      <w:szCs w:val="24"/>
      <w:lang w:eastAsia="en-GB"/>
    </w:rPr>
  </w:style>
  <w:style w:type="character" w:customStyle="1" w:styleId="Heading1Char">
    <w:name w:val="Heading 1 Char"/>
    <w:link w:val="Heading1"/>
    <w:uiPriority w:val="9"/>
    <w:rsid w:val="003F40AC"/>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3F40A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3F40AC"/>
    <w:rPr>
      <w:rFonts w:ascii="Cambria" w:eastAsia="Times New Roman" w:hAnsi="Cambria" w:cs="Times New Roman"/>
      <w:b/>
      <w:bCs/>
      <w:kern w:val="28"/>
      <w:sz w:val="32"/>
      <w:szCs w:val="32"/>
      <w:lang w:eastAsia="en-US"/>
    </w:rPr>
  </w:style>
  <w:style w:type="character" w:styleId="CommentReference">
    <w:name w:val="annotation reference"/>
    <w:uiPriority w:val="99"/>
    <w:semiHidden/>
    <w:unhideWhenUsed/>
    <w:rsid w:val="003F40AC"/>
    <w:rPr>
      <w:sz w:val="16"/>
      <w:szCs w:val="16"/>
    </w:rPr>
  </w:style>
  <w:style w:type="paragraph" w:styleId="CommentSubject">
    <w:name w:val="annotation subject"/>
    <w:basedOn w:val="CommentText"/>
    <w:next w:val="CommentText"/>
    <w:link w:val="CommentSubjectChar"/>
    <w:uiPriority w:val="99"/>
    <w:semiHidden/>
    <w:unhideWhenUsed/>
    <w:rsid w:val="003F40AC"/>
    <w:rPr>
      <w:b/>
      <w:bCs/>
      <w:sz w:val="20"/>
      <w:lang w:eastAsia="en-US"/>
    </w:rPr>
  </w:style>
  <w:style w:type="character" w:customStyle="1" w:styleId="CommentSubjectChar">
    <w:name w:val="Comment Subject Char"/>
    <w:link w:val="CommentSubject"/>
    <w:uiPriority w:val="99"/>
    <w:semiHidden/>
    <w:rsid w:val="003F40AC"/>
    <w:rPr>
      <w:rFonts w:ascii="Arial" w:hAnsi="Arial" w:cs="Arial"/>
      <w:b/>
      <w:bCs/>
      <w:sz w:val="24"/>
      <w:lang w:val="en-GB" w:eastAsia="en-US" w:bidi="ar-SA"/>
    </w:rPr>
  </w:style>
  <w:style w:type="paragraph" w:styleId="BalloonText">
    <w:name w:val="Balloon Text"/>
    <w:basedOn w:val="Normal"/>
    <w:link w:val="BalloonTextChar"/>
    <w:uiPriority w:val="99"/>
    <w:semiHidden/>
    <w:unhideWhenUsed/>
    <w:rsid w:val="003F40AC"/>
    <w:rPr>
      <w:rFonts w:ascii="Tahoma" w:hAnsi="Tahoma" w:cs="Tahoma"/>
      <w:sz w:val="16"/>
      <w:szCs w:val="16"/>
    </w:rPr>
  </w:style>
  <w:style w:type="character" w:customStyle="1" w:styleId="BalloonTextChar">
    <w:name w:val="Balloon Text Char"/>
    <w:link w:val="BalloonText"/>
    <w:uiPriority w:val="99"/>
    <w:semiHidden/>
    <w:rsid w:val="003F40AC"/>
    <w:rPr>
      <w:rFonts w:ascii="Tahoma" w:hAnsi="Tahoma" w:cs="Tahoma"/>
      <w:sz w:val="16"/>
      <w:szCs w:val="16"/>
      <w:lang w:eastAsia="en-US"/>
    </w:rPr>
  </w:style>
  <w:style w:type="character" w:customStyle="1" w:styleId="Heading5Char">
    <w:name w:val="Heading 5 Char"/>
    <w:link w:val="Heading5"/>
    <w:uiPriority w:val="9"/>
    <w:rsid w:val="00FB627D"/>
    <w:rPr>
      <w:rFonts w:ascii="Arial" w:hAnsi="Arial"/>
      <w:b/>
      <w:iCs/>
      <w:color w:val="00476B"/>
      <w:sz w:val="28"/>
      <w:szCs w:val="26"/>
      <w:lang w:eastAsia="en-US"/>
    </w:rPr>
  </w:style>
  <w:style w:type="character" w:customStyle="1" w:styleId="Heading4Char">
    <w:name w:val="Heading 4 Char"/>
    <w:link w:val="Heading4"/>
    <w:uiPriority w:val="9"/>
    <w:semiHidden/>
    <w:rsid w:val="00FB627D"/>
    <w:rPr>
      <w:rFonts w:ascii="Calibri" w:eastAsia="Times New Roman" w:hAnsi="Calibri" w:cs="Times New Roman"/>
      <w:b/>
      <w:bCs/>
      <w:sz w:val="28"/>
      <w:szCs w:val="28"/>
      <w:lang w:eastAsia="en-US"/>
    </w:rPr>
  </w:style>
  <w:style w:type="table" w:styleId="TableGrid">
    <w:name w:val="Table Grid"/>
    <w:basedOn w:val="TableNormal"/>
    <w:uiPriority w:val="59"/>
    <w:rsid w:val="0023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18@orr.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AB55-7F5B-4847-A69B-FA88D6FD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PR18 consultation on charges recovering fixed network costs: Pro-forma for responses</vt:lpstr>
    </vt:vector>
  </TitlesOfParts>
  <Company>Office of Rail and Road</Company>
  <LinksUpToDate>false</LinksUpToDate>
  <CharactersWithSpaces>2322</CharactersWithSpaces>
  <SharedDoc>false</SharedDoc>
  <HLinks>
    <vt:vector size="6" baseType="variant">
      <vt:variant>
        <vt:i4>4718711</vt:i4>
      </vt:variant>
      <vt:variant>
        <vt:i4>0</vt:i4>
      </vt:variant>
      <vt:variant>
        <vt:i4>0</vt:i4>
      </vt:variant>
      <vt:variant>
        <vt:i4>5</vt:i4>
      </vt:variant>
      <vt:variant>
        <vt:lpwstr>mailto:PR18@orr.gsi.gov.uk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PR18 consultation on charges recovering fixed network costs: Pro-forma for responses</dc:title>
  <dc:subject/>
  <dc:creator>Office of Rail and Road</dc:creator>
  <cp:keywords/>
  <cp:lastModifiedBy>Angeriz-Santos, Paula</cp:lastModifiedBy>
  <cp:revision>3</cp:revision>
  <dcterms:created xsi:type="dcterms:W3CDTF">2017-09-27T14:44:00Z</dcterms:created>
  <dcterms:modified xsi:type="dcterms:W3CDTF">2017-09-27T14:45:00Z</dcterms:modified>
</cp:coreProperties>
</file>